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2007/240 vom 16. Februar 2009</w:t>
      </w:r>
    </w:p>
    <w:p>
      <w:r>
        <w:t>Sg Versicherungsgericht, 2009-02-16, DE</w:t>
      </w:r>
    </w:p>
    <w:p>
      <w:r>
        <w:rPr>
          <w:b/>
        </w:rPr>
        <w:t xml:space="preserve">Quelle: </w:t>
      </w:r>
      <w:r>
        <w:t>https://mcp.opencaselaw.ch/entscheid/sg_publikationen_IV 2007_240</w:t>
      </w:r>
    </w:p>
    <w:p>
      <w:r>
        <w:t>FR: SG_VERSICHERUNGSGERICHT IV 2007/240 du 16 février 2009</w:t>
      </w:r>
    </w:p>
    <w:p>
      <w:r>
        <w:t>IT: SG_VERSICHERUNGSGERICHT IV 2007/240 del 16 febbraio 2009</w:t>
      </w:r>
    </w:p>
    <w:p>
      <w:pPr>
        <w:pStyle w:val="Heading2"/>
      </w:pPr>
      <w:r>
        <w:t>Regeste</w:t>
      </w:r>
    </w:p>
    <w:p>
      <w:r>
        <w:t>Art. 8, 16 und 44 ATSG, Art. 28 IVG (in der bis Ende 2007 gültigen Fassung). Invalidenrente, gemischte Methode, Würdigung des Gutachtens (Entscheid des Versicherungsgerichts des Kantons St. Gallen vom 16. Februar 2009, IV 2007/240).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 Abs. 2 bis des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2.2</w:t>
      </w:r>
    </w:p>
    <w:p>
      <w:r>
        <w:t>Nach 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w:t>
      </w:r>
    </w:p>
    <w:p>
      <w:r>
        <w:rPr>
          <w:b/>
        </w:rPr>
        <w:t>E. 2.5</w:t>
      </w:r>
    </w:p>
    <w:p>
      <w:r>
        <w:t>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 246/05, E. 5.2.1 mit Hinweisen).</w:t>
      </w:r>
    </w:p>
    <w:p>
      <w:r>
        <w:rPr>
          <w:b/>
        </w:rPr>
        <w:t>E. 3.1</w:t>
      </w:r>
    </w:p>
    <w:p>
      <w:r>
        <w:t>Von den Parteien unbestritten ist, dass die Beschwerdeführerin im Gesundheitsfall zu 55% erwerbstätig und zu 45% im Haushalt tätig wäre. Die Ermittlung des Invaliditätsgrades hat somit nach der gemischten Methode zu erfolgen. Nachfolgend sind daher die Auswirkungen der gesundheitlichen Beeinträchtigung auf den Erwerbs- und Aufgabenbereich zu ermitteln.</w:t>
      </w:r>
    </w:p>
    <w:p>
      <w:r>
        <w:rPr>
          <w:b/>
        </w:rPr>
        <w:t>E. 3.2</w:t>
      </w:r>
    </w:p>
    <w:p>
      <w:r>
        <w:t>Die Beschwerdegegnerin stützt sich in erster Linie auf das ABI-Gutachten vom 25. August 2006 (act. G 6.1.26). Im Hinblick auf die Würdigung der medizinischen Situation fällt ins Gewicht, dass dieses Gutachten auf eigenständigen interdisziplinären Abklärungen, mithin auf allseitigen Untersuchungen beruht und damit für die streitigen Belange umfassend ist. Die Vorakten wurden verwertet und die von der Beschwerdeführerin geklagten Beschwerden berücksichtigt und gewürdigt. Das Gutachten leuchtet in der Darlegung der medizinischen Zusammenhänge und in der Beurteilung der medizinischen Situation ein, dies insbesondere auch durch die Auseinandersetzung mit früheren, teilweise divergierenden ärztlichen Beurteilungen. Vor diesem Hintergrund vermögen auch die darin enthaltenen Schlussfolgerungen, namentlich die Einschätzung der Arbeitsfähigkeit, zu überzeugen. Das ABI-Gutachten erfüllt alle praxisgemässen Kriterien für beweiskräftige Gutachten (vgl. BGE 125 V 352 E. 3a), so dass grundsätzlich darauf abzustellen ist.</w:t>
      </w:r>
    </w:p>
    <w:p>
      <w:r>
        <w:rPr>
          <w:b/>
        </w:rPr>
        <w:t>E. 3.3</w:t>
      </w:r>
    </w:p>
    <w:p>
      <w:r>
        <w:t>Was der Vertreter der Beschwerdeführerin gegen das ABI-Gutachten vorbringt, vermag dieses nicht in erhebliche Zweifel zu ziehen.</w:t>
      </w:r>
    </w:p>
    <w:p>
      <w:r>
        <w:rPr>
          <w:b/>
        </w:rPr>
        <w:t>E. 3.3.1</w:t>
      </w:r>
    </w:p>
    <w:p>
      <w:r>
        <w:t>Soweit sich der Vertreter der Beschwerdeführerin auf die Berichte von Dr. F.___ beruft und geltend macht, diese seien nicht hinreichend berücksichtigt worden, kann dem nicht gefolgt werden. In diagnostischer Hinsicht stimmen die Arztberichte von Dr. F.___ vom 24. Juni 2005 (act. G 6.1.7-11 ff.) und 20. Dezember 2006 (act. G 6.1.35) sowie das ABI-Gutachten (act. G 6.1.26), was die rheumatologischen Befunde anbelangt, im Grossen und Ganzen überein; Unterschiede bestehen jedoch in Bezug auf die Beurteilung der Arbeitsfähigkeit der Beschwerdeführerin. Das ABI hat sich mit den beiden Berichten von Dr. F.___ ausdrücklich auseinandergesetzt. So führte es in Bezug auf den Bericht vom 24. Juni 2005 aus, darin werde der Beschwerdeführerin für alle Arbeiten eine 50%ige Arbeitsunfähigkeit attestiert, dies im Wesentlichen aufgrund der ausgeprägten lumbalen Beschwerden mit nachweisbarer schwerer Osteochondrose. Sicherlich bestehe somatisch fassbar eine deutliche Osteochondrose im Segment L5/S1. Trotz diesem pathologischen Befund imponiere aber eine im Wesentlichen eher überdurchschnittlich gute Bewegungsfähigkeit der LWS mit wiederholt objektivierbarem Finger-Bodenabstand von 0 cm (mit den Händen flach auf dem Boden wiederholt geprüft). Diese Untersuchungsbefunde deckten sich mit den Untersuchungen von Dr. F.___ vom Juni 2005. Dementsprechend sei aus seiner (des Gutachters) Sicht nicht nachvollziehbar, dass eine 50%ige Arbeitsunfähigkeit für alle Tätigkeiten bestehen soll, wenn diese im Wesentlichen aufgrund der Osteochondrose postuliert werde. Es müsse objektiv festgehalten werden, dass eine deutliche Diskrepanz zwischen den subjektiven, zum Teil massivst invalidisierenden und spontan exazerbierenden Beschwerden am Bewegungsapparat und den somatisch objektiv nachvollziehbaren pathologischen Befunden bestehe. Dementsprechend könne keine 50%ige Arbeitsunfähigkeit für sämtliche Tätigkeiten postuliert werden, sondern es bestehe eine 100%ige Arbeitsfähigkeit für eine definierte adaptierte Tätigkeit (act. G 6.1.26-10). Bezüglich des Arztberichts von Dr. F.___ vom 20. Dezember 2006 führte das ABI aus, darin mache er (Dr. F.___) in etwa die gleiche Befunderhebung wie der ABI-Rheumatologe einige Monate zuvor. Mit anderen Worten bestehe also die gleiche Befundsituation wie zum Zeitpunkt des Gutachtens. Auch diagnostisch leite Dr. F.___ daraus keine andere Diagnose ab als der ABI-Rheumatologe. Somit divergiere nur die Einschätzung der Arbeitsfähigkeit. Dr. F.___ schreibe in seinem Bericht selber, er sei sich bewusst, dass eine Fibromyalgie und eine somatoforme Schmerzstörung keine Diagnosen seien, die eine Arbeitsunfähigkeit begründen könnten. Muskelverspannungen und die degenerativen Veränderungen könnten jedoch Schmerzen verursachen. Auch schliesse die gute Beweglichkeit stärkere Schmerzen nicht aus. Darum sei eine Arbeitsunfähigkeit von 50% gerechtfertigt. Auch im Gutachten sei nicht ausgeschlossen, dass ein gewisses Ausmass an Schmerzen auch bei nicht erheblichen Befunden möglich sei. Im Rahmen dieser geringen Befunderhebung, mit auch massiver Überlagerung wie dies in der polydisziplinären Untersuchung durch den Beizug des psychiatrischen Gutachters noch viel besser aufgezeigt werden könne, könne jedoch eine Aussage zur zumutbaren Willensanstrengung gemacht werden, trotz empfundener Beschwerden einer Tätigkeit nachzugehen. Notabene erachte es (das ABI) nur eine leichte adaptierte Tätigkeit als zumutbar (act. G 6.1.38). Diese Beurteilung des ABI ist nachvollziehbar und überzeugend. Es ist somit davon auszugehen, dass die Beschwerdeführerin aus rheumatologischer Sicht für leichte adaptierte Tätigkeiten zu 100% arbeitsfähig ist.</w:t>
      </w:r>
    </w:p>
    <w:p>
      <w:r>
        <w:rPr>
          <w:b/>
        </w:rPr>
        <w:t>E. 3.3.2</w:t>
      </w:r>
    </w:p>
    <w:p>
      <w:r>
        <w:t>Auch der Einwand des Vertreters der Beschwerdeführerin, die Beschwerdegegnerin habe das Ergebnis der schlafmedizinischen Untersuchung nicht miteinbezogen, überzeugt nicht. Im ABI-Gutachen wird ein obstruktives Schlafapnoe-Syndrom als Diagnose ohne Einfluss auf die Arbeitsfähigkeit aufgeführt. Auch Dr. B.___ (act. G 6.1.10-1) und Dr. A.___ (act. G 6.1.7-3) führten das Schlafapnoe-Syndrom als Diagnose ohne Einfluss auf die Arbeitsfähigkeit der Beschwerdeführerin an. Ebenso ist dem Bericht von Dr. H.___, Facharzt Pneumologie am interdisziplinären Zentrum für Schlafmedizin am Kantonsspital St. Gallen vom 24. April 2005 nicht zu entnehmen, dass das Schlafapnoe-Syndrom die Beschwerdeführerin in ihrer Arbeitsfähigkeit einschränken würde (act. G 6.1.7-6 f.). Unter diesen Umständen ist nicht ersichtlich, inwiefern die Beschwerdegegnerin diese Diagnose im Rahmen der Rentenverfügung hätte miteinbeziehen müssen bzw. was das für einen Einfluss auf den Rentenanspruch der Beschwerdeführerin haben sollte.</w:t>
      </w:r>
    </w:p>
    <w:p>
      <w:r>
        <w:rPr>
          <w:b/>
        </w:rPr>
        <w:t>E. 3.3.3</w:t>
      </w:r>
    </w:p>
    <w:p>
      <w:r>
        <w:t>Schliesslich macht der Vertreter der Beschwerdeführerin geltend, bei ihr hätten sich psychische Probleme entwickelt. Auch dieser Einwand ist unbehelflich, setzt sich das ABI-Gutachten doch eingehend mit der psychiatrischen Situation der Beschwerdeführerin auseinander. Die von ihr geklagten Beschwerden könnten somatisch nicht vollständig objektiviert werden, so dass eine psychische Überlagerung der geklagten Beschwerden angenommen werden müsse. Sie sei 2004 durch ihre Berufstätigkeit und ihre Aufgaben als Hausfrau und Mutter von vier Kindern, das älteste sei schon ausgezogen gewesen, überfordert gewesen. Mit Hilfe ihrer Beschwerden habe sie vor sich und ihrer Umgebung die Rechtfertigung dafür, sich arbeitsunfähig schreiben zu lassen und habe sich von dieser Überforderung befreien können. Aufgrund der psychosozialen Belastungssituation könne daher die Diagnose einer anhaltenden somatoformen Schmerzstörung gestellt werden. Die Beschwerden hätten bei der Beschwerdeführerin zu einem erheblichen sekundären Krankheitsgewinn geführt. Aufgrund einer Belastungssituation in der Familie habe sie an depressiven Verstimmungen gelitten, in deren Verlauf sie auch vorübergehend suizidal gewesen und vom 12. September bis 14. Oktober 2005 stationär behandelt worden sei. Diese depressive Störung habe sich in der Zwischenzeit weitgehend zurückgebildet. Zum jetzigen Zeitpunkt könne ausser der anhaltenden somatoformen Schmerzstörung keine weitere psychiatrische Diagnose gestellt werden. Immerhin weist der Gutachter auf eine ungünstige Prognose hin (act. G 6.1.26-13 f.). Wieweit von einem erheblichen sekundären Krankheitsgewinn auszugehen ist, mag fraglich sein, nachdem die Beschwerdeführerin von ihren Angehörigen offenbar gerade nicht unterstützt wird, wie im Abklärungsbericht aufscheint (act. G 6.1.28-12). Ob inzwischen erneut eine erhebliche depressive Entwicklung stattgefunden hat, worauf Dr. H.___ im Bericht vom 4. Juni 2007 hinweist (act. G 6.1.41), braucht indessen nicht näher abgeklärt zu werden, weil einzig die Verhältnisse bis Verfügungserlass (15. Mai 2007) massgebend sind. Mithin kann auch in psychiatrischer Hinsicht auf das ABI-Gutachten abgestellt werden.</w:t>
      </w:r>
    </w:p>
    <w:p>
      <w:r>
        <w:rPr>
          <w:b/>
        </w:rPr>
        <w:t>E. 3.3.4</w:t>
      </w:r>
    </w:p>
    <w:p>
      <w:r>
        <w:t>Nach dem Gesagten ist das ABI-Gutachten nicht zu beanstanden. Die Beschwerdeführerin ist daher für leichte wechselbelastende Tätigkeiten unter folgenden Voraussetzungen als zu 100% arbeitsfähig zu betrachten: Sie muss die Arbeitsposition regelmässig wechseln können, das heisst, das längere Sitzen oder Stehen ist zu vermeiden. Ebenso sind das repetitive Heben, Tragen und Stossen von Lasten über 10 kg oder die Durchführung von stereotypen fliessbandähnlichen Bewegungen, insbesondere verbunden mit häufigen Rotationsbewegungen im Bereich der LWS, zu unterlassen. Auch Gehbelastungen, zum Beispiel das wiederholte Zurücklegen von Treppensteigen, sind zu vermeiden (act. G 6.1.26-16).</w:t>
      </w:r>
    </w:p>
    <w:p>
      <w:r>
        <w:rPr>
          <w:b/>
        </w:rPr>
        <w:t>E. 3.4</w:t>
      </w:r>
    </w:p>
    <w:p>
      <w:r>
        <w:t>Der Vertreter der Beschwerdeführerin macht ausserdem geltend, es sei ihr bei der Bemessung des Invalideneinkommens der maximale Leidensabzug von 25% zu gewähren. Die Beschwerdegegnerin hat ihr demgegenüber lediglich einen Leidensabzug von 10% zugebilligt. Wie es sich damit verhält, kann vorliegend offen bleiben, führt doch auch ein maximaler Leidensabzug von 25% im erwerblichen Teil nicht zu einem rentenbegründenden Invaliditätsgrad, wie nachfolgend zu zeigen sein wird.</w:t>
      </w:r>
    </w:p>
    <w:p>
      <w:r>
        <w:rPr>
          <w:b/>
        </w:rPr>
        <w:t>E. 3.5</w:t>
      </w:r>
    </w:p>
    <w:p>
      <w:r>
        <w:t>Schliesslich beanstandet der Vertreter der Beschwerdeführerin die Haushaltsabklärung.</w:t>
      </w:r>
    </w:p>
    <w:p>
      <w:r>
        <w:rPr>
          <w:b/>
        </w:rPr>
        <w:t>E. 3.5.1</w:t>
      </w:r>
    </w:p>
    <w:p>
      <w:r>
        <w:t>Er bringt diesbezüglich vor, die Haushaltsabklärung habe unter ungünstigen Bedingungen stattgefunden. Das habe dazu geführt, dass insbesondere bei Fachbegriffen Verständnisschwierigkeiten aufgetreten seien, was das Resultat der Abklärung verfälscht habe. Tatsächlich könne die Beschwerdeführerin nur noch leichte Verrichtungen ausführen. Sie sei beispielsweise nicht mehr in der Lage, zu kochen, einzukaufen, zu putzen und Betten zu machen. Im Bericht der Haushaltsabklärung fehlten aber ganze Bereiche mit deren prozentualen Einschränkung.</w:t>
      </w:r>
    </w:p>
    <w:p>
      <w:r>
        <w:rPr>
          <w:b/>
        </w:rPr>
        <w:t>E. 3.5.2</w:t>
      </w:r>
    </w:p>
    <w:p>
      <w:r>
        <w:t>Dem "Abklärungsbericht Haushalt" vom 5. September 2006 sind - entgegen der Auffassung des Vertreters der Beschwerdeführerin - keine Verständigungsschwierigkeiten zu entnehmen, wurden doch die von der Beschwerdeführerin geklagten Beschwerden und Einschränkungen unter "Beginn und Ausmass der Beschwerden" aufgeführt. Entsprechend geht aus dem Bericht hervor, dass sich die Beschwerdeführerin, was den Haushalt anbelangt, im Umfang von 71.78% als behindert betrachtet. Welche Bereiche unberücksichtigt geblieben sein sollen, ist nicht ersichtlich. So wurde lediglich der Bereich "Betreuung von Kindern oder anderen Angehörigen" nicht miteinbezogen, doch ist dies angesichts des Alters der Kinder (Jahrgang 1991 und älter) und der Aussage der Beschwerdeführerin, die Kinder seien heute selbständig, kaum zu beanstanden (act. G 6.1.28). Ebenso wenig zu beanstanden ist der Umstand, dass die Abklärungsperson bezüglich des Ausmasses der Behinderung nicht unbesehen auf die Vorbringen der Beschwerdeführerin abgestellt, sondern auch die entsprechende medizinische Beurteilung durch das ABI berücksichtigt hat. Dieses hat der Beschwerdeführerin (sowohl vor als auch nach Vorliegen des "Abklärungsberichts Haushalt" bzw. als Stellungnahme dazu) eine Einschränkung im Haushalt von 20% attestiert (act. G 6.1.26-16, 6.1.38-2). Diese Einschätzung vermag zu überzeugen, ist die Beschwerdeführerin doch für leichte adaptierte Arbeiten voll arbeitsfähig, weshalb nicht einzusehen ist, weshalb sie leichtere Tätigkeiten wie Kochen oder Kleineinkäufe nicht ausführen können sollte. Behinderungen bestehen sicherlich bei schweren Putzarbeiten sowie beim Grosseinkauf, doch wird dem mit einer zugestandenen Einschränkung von 20% Rechnung getragen.</w:t>
      </w:r>
    </w:p>
    <w:p>
      <w:r>
        <w:rPr>
          <w:b/>
        </w:rPr>
        <w:t>E. 3.5.3</w:t>
      </w:r>
    </w:p>
    <w:p>
      <w:r>
        <w:t>Nach dem Gesagten ist somit davon auszugehen, dass die Beschwerdeführerin im Haushalt zu 20% eingeschränkt ist.</w:t>
      </w:r>
    </w:p>
    <w:p>
      <w:r>
        <w:rPr>
          <w:b/>
        </w:rPr>
        <w:t>E. 3.6</w:t>
      </w:r>
    </w:p>
    <w:p>
      <w:r>
        <w:t>Zusammengefasst ist die Beschwerdegegnerin somit zu Recht davon ausgegangen, dass die Beschwerdeführerin in einer leichten adaptierten Tätigkeit zu 100% arbeitsfähig, im Haushalt demgegenüber zu 20% eingeschränkt ist. Ausgehend von einer 55%igen Erwerbstätigkeit und 45%igen Tätigkeit im Haushalt spielt es daher keine Rolle, ob der Beschwerdeführerin hierbei ein Leidensabzug von 10% oder von 25% gewährt wird. Im Haushaltbereich besteht bei einer 20%igen Einschränkung ein gewichteter Teilinvaliditätsgrad von 9% (20% von 45% Haushaltbereich). Würde vom höheren Leidensabzug ausgegangen, ergäbe sich ein gewichteter Teilinvaliditätsgrad von 13.75% (25% von 55% Erwerbsanteil). Insgesamt ergäbe sich daraus ein Invaliditätsgrad von höchstens 23% (9% + 13.75%).</w:t>
      </w:r>
    </w:p>
    <w:p>
      <w:r>
        <w:rPr>
          <w:b/>
        </w:rPr>
        <w:t>E. 4.1</w:t>
      </w:r>
    </w:p>
    <w:p>
      <w:r>
        <w:t>Im Sinne der obigen Ausführungen ist die Beschwerde abzuweisen.</w:t>
      </w:r>
    </w:p>
    <w:p>
      <w:r>
        <w:rPr>
          <w:b/>
        </w:rPr>
        <w:t>E. 4.2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zahlt die Gerichtskosten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